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0" w:rightChars="0"/>
        <w:jc w:val="center"/>
        <w:textAlignment w:val="auto"/>
      </w:pPr>
      <w:r>
        <w:rPr>
          <w:rFonts w:hint="eastAsia" w:ascii="黑体" w:hAnsi="黑体" w:eastAsia="黑体" w:cs="黑体"/>
          <w:b/>
          <w:spacing w:val="12"/>
          <w:sz w:val="36"/>
          <w:szCs w:val="36"/>
        </w:rPr>
        <w:t>上海证券交易所风险警示股票交易风险揭示书</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投资者名称：</w:t>
      </w:r>
      <w:bookmarkStart w:id="0" w:name="_GoBack"/>
      <w:bookmarkEnd w:id="0"/>
    </w:p>
    <w:p>
      <w:pPr>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客户号：</w:t>
      </w:r>
    </w:p>
    <w:p>
      <w:pPr>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联系电话：</w:t>
      </w:r>
    </w:p>
    <w:p>
      <w:pPr>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风险测</w:t>
      </w:r>
      <w:r>
        <w:rPr>
          <w:rFonts w:hint="eastAsia" w:asciiTheme="minorEastAsia" w:hAnsiTheme="minorEastAsia" w:cstheme="minorEastAsia"/>
          <w:sz w:val="24"/>
          <w:szCs w:val="24"/>
          <w:lang w:val="en-US" w:eastAsia="zh-CN"/>
        </w:rPr>
        <w:t>评</w:t>
      </w:r>
      <w:r>
        <w:rPr>
          <w:rFonts w:hint="eastAsia" w:asciiTheme="minorEastAsia" w:hAnsiTheme="minorEastAsia" w:cstheme="minorEastAsia"/>
          <w:sz w:val="24"/>
          <w:szCs w:val="24"/>
        </w:rPr>
        <w:t>等级：</w:t>
      </w:r>
    </w:p>
    <w:p>
      <w:pPr>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除本人以外的其他联系人方式：</w:t>
      </w:r>
    </w:p>
    <w:p>
      <w:pPr>
        <w:tabs>
          <w:tab w:val="left" w:pos="6000"/>
        </w:tabs>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其他联系人姓名：</w:t>
      </w:r>
      <w:r>
        <w:rPr>
          <w:rFonts w:hint="eastAsia" w:asciiTheme="minorEastAsia" w:hAnsiTheme="minorEastAsia" w:cstheme="minorEastAsia"/>
          <w:sz w:val="24"/>
          <w:szCs w:val="24"/>
        </w:rPr>
        <w:tab/>
      </w:r>
    </w:p>
    <w:p>
      <w:pPr>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联系电话（固定电话）：</w:t>
      </w:r>
    </w:p>
    <w:p>
      <w:pPr>
        <w:adjustRightInd w:val="0"/>
        <w:snapToGrid w:val="0"/>
        <w:spacing w:line="360" w:lineRule="auto"/>
        <w:ind w:firstLine="0" w:firstLineChars="0"/>
        <w:rPr>
          <w:rFonts w:hint="eastAsia" w:asciiTheme="minorEastAsia" w:hAnsiTheme="minorEastAsia" w:cstheme="minorEastAsia"/>
          <w:b/>
          <w:sz w:val="24"/>
          <w:szCs w:val="24"/>
        </w:rPr>
      </w:pPr>
      <w:r>
        <w:rPr>
          <w:rFonts w:hint="eastAsia" w:asciiTheme="minorEastAsia" w:hAnsiTheme="minorEastAsia" w:cstheme="minorEastAsia"/>
          <w:sz w:val="24"/>
          <w:szCs w:val="24"/>
        </w:rPr>
        <w:t>联系电话（手机）：</w:t>
      </w:r>
    </w:p>
    <w:p>
      <w:pPr>
        <w:adjustRightInd w:val="0"/>
        <w:snapToGrid w:val="0"/>
        <w:spacing w:before="313" w:beforeLines="100" w:line="360" w:lineRule="auto"/>
        <w:ind w:firstLine="482" w:firstLineChars="200"/>
        <w:rPr>
          <w:rFonts w:hint="eastAsia" w:asciiTheme="minorEastAsia" w:hAnsiTheme="minorEastAsia" w:cstheme="minorEastAsia"/>
          <w:b/>
          <w:sz w:val="24"/>
          <w:szCs w:val="24"/>
        </w:rPr>
      </w:pPr>
      <w:r>
        <w:rPr>
          <w:rFonts w:hint="eastAsia" w:asciiTheme="minorEastAsia" w:hAnsiTheme="minorEastAsia" w:cstheme="minorEastAsia"/>
          <w:b/>
          <w:sz w:val="24"/>
          <w:szCs w:val="24"/>
        </w:rPr>
        <w:t>本《风险揭示书》的提示事项仅为列举</w:t>
      </w:r>
      <w:r>
        <w:rPr>
          <w:rFonts w:hint="eastAsia" w:asciiTheme="minorEastAsia" w:hAnsiTheme="minorEastAsia" w:cstheme="minorEastAsia"/>
          <w:b/>
          <w:sz w:val="24"/>
          <w:szCs w:val="24"/>
          <w:lang w:val="en-US" w:eastAsia="zh-CN"/>
        </w:rPr>
        <w:t>事项</w:t>
      </w:r>
      <w:r>
        <w:rPr>
          <w:rFonts w:hint="eastAsia" w:asciiTheme="minorEastAsia" w:hAnsiTheme="minorEastAsia" w:cstheme="minorEastAsia"/>
          <w:b/>
          <w:sz w:val="24"/>
          <w:szCs w:val="24"/>
        </w:rPr>
        <w:t>，未能详尽</w:t>
      </w:r>
      <w:r>
        <w:rPr>
          <w:rFonts w:hint="eastAsia" w:asciiTheme="minorEastAsia" w:hAnsiTheme="minorEastAsia" w:cstheme="minorEastAsia"/>
          <w:b/>
          <w:sz w:val="24"/>
          <w:szCs w:val="24"/>
          <w:lang w:val="en-US" w:eastAsia="zh-CN"/>
        </w:rPr>
        <w:t>载</w:t>
      </w:r>
      <w:r>
        <w:rPr>
          <w:rFonts w:hint="eastAsia" w:asciiTheme="minorEastAsia" w:hAnsiTheme="minorEastAsia" w:cstheme="minorEastAsia"/>
          <w:b/>
          <w:sz w:val="24"/>
          <w:szCs w:val="24"/>
        </w:rPr>
        <w:t>明风险警示股票交易的所有风险，投资者在参与交易前，应当认真阅读信息披露公告、业务协议、产品说明书等法律文件，熟悉该项业务相关法律法规、</w:t>
      </w:r>
      <w:r>
        <w:rPr>
          <w:rFonts w:hint="eastAsia" w:asciiTheme="minorEastAsia" w:hAnsiTheme="minorEastAsia" w:cstheme="minorEastAsia"/>
          <w:b/>
          <w:sz w:val="24"/>
          <w:szCs w:val="24"/>
          <w:lang w:val="en-US" w:eastAsia="zh-CN"/>
        </w:rPr>
        <w:t>证券</w:t>
      </w:r>
      <w:r>
        <w:rPr>
          <w:rFonts w:hint="eastAsia" w:asciiTheme="minorEastAsia" w:hAnsiTheme="minorEastAsia" w:cstheme="minorEastAsia"/>
          <w:b/>
          <w:sz w:val="24"/>
          <w:szCs w:val="24"/>
        </w:rPr>
        <w:t>交易所</w:t>
      </w:r>
      <w:r>
        <w:rPr>
          <w:rFonts w:hint="eastAsia" w:asciiTheme="minorEastAsia" w:hAnsiTheme="minorEastAsia" w:cstheme="minorEastAsia"/>
          <w:b/>
          <w:sz w:val="24"/>
          <w:szCs w:val="24"/>
          <w:lang w:val="en-US" w:eastAsia="zh-CN"/>
        </w:rPr>
        <w:t>和登记结算机构</w:t>
      </w:r>
      <w:r>
        <w:rPr>
          <w:rFonts w:hint="eastAsia" w:asciiTheme="minorEastAsia" w:hAnsiTheme="minorEastAsia" w:cstheme="minorEastAsia"/>
          <w:b/>
          <w:sz w:val="24"/>
          <w:szCs w:val="24"/>
        </w:rPr>
        <w:t>相关业务规则等</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rPr>
        <w:t>对其他可能存在的风险因素也应当有所了解和掌握，并确信自己已</w:t>
      </w:r>
      <w:r>
        <w:rPr>
          <w:rFonts w:hint="eastAsia" w:asciiTheme="minorEastAsia" w:hAnsiTheme="minorEastAsia" w:cstheme="minorEastAsia"/>
          <w:b/>
          <w:sz w:val="24"/>
          <w:szCs w:val="24"/>
          <w:lang w:val="en-US" w:eastAsia="zh-CN"/>
        </w:rPr>
        <w:t>经</w:t>
      </w:r>
      <w:r>
        <w:rPr>
          <w:rFonts w:hint="eastAsia" w:asciiTheme="minorEastAsia" w:hAnsiTheme="minorEastAsia" w:cstheme="minorEastAsia"/>
          <w:b/>
          <w:sz w:val="24"/>
          <w:szCs w:val="24"/>
        </w:rPr>
        <w:t>做好足够的风险</w:t>
      </w:r>
      <w:r>
        <w:rPr>
          <w:rFonts w:hint="eastAsia" w:asciiTheme="minorEastAsia" w:hAnsiTheme="minorEastAsia" w:cstheme="minorEastAsia"/>
          <w:b/>
          <w:sz w:val="24"/>
          <w:szCs w:val="24"/>
          <w:lang w:val="en-US" w:eastAsia="zh-CN"/>
        </w:rPr>
        <w:t>控制和</w:t>
      </w:r>
      <w:r>
        <w:rPr>
          <w:rFonts w:hint="eastAsia" w:asciiTheme="minorEastAsia" w:hAnsiTheme="minorEastAsia" w:cstheme="minorEastAsia"/>
          <w:b/>
          <w:sz w:val="24"/>
          <w:szCs w:val="24"/>
        </w:rPr>
        <w:t>财务安排，避免因参与风险警示股票交易遭受难以承受的损失。</w:t>
      </w:r>
    </w:p>
    <w:p>
      <w:pPr>
        <w:adjustRightInd w:val="0"/>
        <w:snapToGrid w:val="0"/>
        <w:spacing w:line="360" w:lineRule="auto"/>
        <w:ind w:firstLine="482" w:firstLineChars="200"/>
        <w:rPr>
          <w:rFonts w:hint="eastAsia" w:asciiTheme="minorEastAsia" w:hAnsiTheme="minorEastAsia" w:cstheme="minorEastAsia"/>
          <w:b/>
          <w:sz w:val="24"/>
          <w:szCs w:val="24"/>
        </w:rPr>
      </w:pPr>
      <w:r>
        <w:rPr>
          <w:rFonts w:hint="eastAsia" w:asciiTheme="minorEastAsia" w:hAnsiTheme="minorEastAsia" w:cstheme="minorEastAsia"/>
          <w:b/>
          <w:sz w:val="24"/>
          <w:szCs w:val="24"/>
        </w:rPr>
        <w:t>投资者签署本《风险揭示书》后，即</w:t>
      </w:r>
      <w:r>
        <w:rPr>
          <w:rFonts w:hint="eastAsia" w:asciiTheme="minorEastAsia" w:hAnsiTheme="minorEastAsia" w:cstheme="minorEastAsia"/>
          <w:b/>
          <w:sz w:val="24"/>
          <w:szCs w:val="24"/>
          <w:lang w:val="en-US"/>
        </w:rPr>
        <w:t>视为</w:t>
      </w:r>
      <w:r>
        <w:rPr>
          <w:rFonts w:hint="eastAsia" w:asciiTheme="minorEastAsia" w:hAnsiTheme="minorEastAsia" w:cstheme="minorEastAsia"/>
          <w:b/>
          <w:sz w:val="24"/>
          <w:szCs w:val="24"/>
        </w:rPr>
        <w:t>已</w:t>
      </w:r>
      <w:r>
        <w:rPr>
          <w:rFonts w:hint="eastAsia" w:asciiTheme="minorEastAsia" w:hAnsiTheme="minorEastAsia" w:cstheme="minorEastAsia"/>
          <w:b/>
          <w:sz w:val="24"/>
          <w:szCs w:val="24"/>
          <w:lang w:val="en-US"/>
        </w:rPr>
        <w:t>知晓并</w:t>
      </w:r>
      <w:r>
        <w:rPr>
          <w:rFonts w:hint="eastAsia" w:asciiTheme="minorEastAsia" w:hAnsiTheme="minorEastAsia" w:cstheme="minorEastAsia"/>
          <w:b/>
          <w:sz w:val="24"/>
          <w:szCs w:val="24"/>
        </w:rPr>
        <w:t>理解《风险揭示书》的全部内容，愿意</w:t>
      </w:r>
      <w:r>
        <w:rPr>
          <w:rFonts w:hint="eastAsia" w:asciiTheme="minorEastAsia" w:hAnsiTheme="minorEastAsia" w:cstheme="minorEastAsia"/>
          <w:b/>
          <w:sz w:val="24"/>
          <w:szCs w:val="24"/>
          <w:lang w:val="en-US" w:eastAsia="zh-CN"/>
        </w:rPr>
        <w:t>自行</w:t>
      </w:r>
      <w:r>
        <w:rPr>
          <w:rFonts w:hint="eastAsia" w:asciiTheme="minorEastAsia" w:hAnsiTheme="minorEastAsia" w:cstheme="minorEastAsia"/>
          <w:b/>
          <w:sz w:val="24"/>
          <w:szCs w:val="24"/>
        </w:rPr>
        <w:t>承担风险警示股票交易的风险和损失。</w:t>
      </w:r>
    </w:p>
    <w:p>
      <w:pPr>
        <w:adjustRightInd w:val="0"/>
        <w:snapToGrid w:val="0"/>
        <w:spacing w:before="313" w:beforeLines="100"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尊敬的投资者：</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为使您充分了解被上海证券交易所实施风险警示的股票（以下简称“风险警示股票”）的交易风险，保护您的合法权益，根据有关法律、法规、规章和规则的规定，本公司特为您提供此份材料，将风险警示股票交易</w:t>
      </w:r>
      <w:r>
        <w:rPr>
          <w:rFonts w:hint="eastAsia" w:asciiTheme="minorEastAsia" w:hAnsiTheme="minorEastAsia" w:cstheme="minorEastAsia"/>
          <w:sz w:val="24"/>
          <w:szCs w:val="24"/>
          <w:lang w:val="en-US" w:eastAsia="zh-CN"/>
        </w:rPr>
        <w:t>面临</w:t>
      </w:r>
      <w:r>
        <w:rPr>
          <w:rFonts w:hint="eastAsia" w:asciiTheme="minorEastAsia" w:hAnsiTheme="minorEastAsia" w:cstheme="minorEastAsia"/>
          <w:sz w:val="24"/>
          <w:szCs w:val="24"/>
        </w:rPr>
        <w:t>的风险向您揭示如下，请认真阅读并签署。</w:t>
      </w:r>
    </w:p>
    <w:p>
      <w:pPr>
        <w:pStyle w:val="6"/>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一、在参与风险警示股票交易前，应充分了解风险警示股票交易规定和相关上市公司的基本面情况，并根据自身财务状况、实际需求及风险承受能力等，审慎考虑是否买入风险警示股票。</w:t>
      </w:r>
    </w:p>
    <w:p>
      <w:pPr>
        <w:adjustRightInd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二、在参与风险警示股票交易前，应充分了解投资者买卖风险警示股票应当采用限价委托的方式。</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三、在参与风险警示股票交易前，应充分了解风险警示股票价格的涨跌幅限制与其他股票的涨跌幅限制不同。</w:t>
      </w:r>
    </w:p>
    <w:p>
      <w:pPr>
        <w:adjustRightInd w:val="0"/>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四、当日通过竞价交易和大宗交易累计买入的单只风险警示股票，数量不得超过50万股。当日累积买入风险警示股票数量，按照投资者以本人名义开立的证券账户与融资融券信用证券账户的买入量合并计算。投资者委托买入数量与当日已买入数量以及已申报买入但尚未成交、也未撤单的数量之和，不得超过50万股。上市公司回购股份、5%以上股东根据已披露的增持计划增持股份可不受前述50万股买入限制</w:t>
      </w:r>
      <w:r>
        <w:rPr>
          <w:rFonts w:hint="eastAsia" w:asciiTheme="minorEastAsia" w:hAnsiTheme="minorEastAsia" w:cstheme="minorEastAsia"/>
          <w:sz w:val="24"/>
          <w:szCs w:val="24"/>
          <w:lang w:eastAsia="zh-CN"/>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、应当特别关注上市公司发布的风险提示性公告，及时从符合中国证监会规定条件的媒体等渠道获取相关信息。</w:t>
      </w:r>
    </w:p>
    <w:p>
      <w:pPr>
        <w:pStyle w:val="6"/>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、风险警示股票相关法律、行政法规、部门规章、规范性文件（以下简称法律法规）、证券交易所和登记结算机构业务规则可能根据市场情况进行制定、废止和修改，投资者应当及时予以关注和了解。</w:t>
      </w:r>
    </w:p>
    <w:p>
      <w:pPr>
        <w:adjustRightInd w:val="0"/>
        <w:snapToGrid w:val="0"/>
        <w:spacing w:line="360" w:lineRule="auto"/>
        <w:ind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我们诚挚地希望和建议您，根据自身财务状况、实际需求及风险承受能力等，审慎考虑是否买入风险警示股票。</w:t>
      </w:r>
    </w:p>
    <w:p>
      <w:pPr>
        <w:adjustRightInd w:val="0"/>
        <w:snapToGrid w:val="0"/>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高龄投资者特别提醒：</w:t>
      </w:r>
      <w:r>
        <w:rPr>
          <w:rFonts w:hint="eastAsia" w:asciiTheme="minorEastAsia" w:hAnsiTheme="minorEastAsia" w:cstheme="minorEastAsia"/>
          <w:b/>
          <w:bCs/>
          <w:color w:val="auto"/>
          <w:sz w:val="24"/>
          <w:szCs w:val="24"/>
          <w:lang w:val="en-US" w:eastAsia="zh-CN"/>
        </w:rPr>
        <w:t>风险警示</w:t>
      </w:r>
      <w:r>
        <w:rPr>
          <w:rFonts w:hint="eastAsia" w:asciiTheme="minorEastAsia" w:hAnsiTheme="minorEastAsia" w:cstheme="minorEastAsia"/>
          <w:b/>
          <w:bCs/>
          <w:color w:val="auto"/>
          <w:sz w:val="24"/>
          <w:szCs w:val="24"/>
        </w:rPr>
        <w:t>股票交易业务适宜具有一定专业知识、身体健康、有资金实力、熟知各类风险、具有较强的风险承受能力和控制能力的投资者参与。我司特别提醒，敬请您高度重视，请切实对自身的健康状况、心理承受能力是否适合参与</w:t>
      </w:r>
      <w:r>
        <w:rPr>
          <w:rFonts w:hint="eastAsia" w:asciiTheme="minorEastAsia" w:hAnsiTheme="minorEastAsia" w:cstheme="minorEastAsia"/>
          <w:b/>
          <w:bCs/>
          <w:color w:val="auto"/>
          <w:sz w:val="24"/>
          <w:szCs w:val="24"/>
          <w:lang w:val="en-US" w:eastAsia="zh-CN"/>
        </w:rPr>
        <w:t>风险警示</w:t>
      </w:r>
      <w:r>
        <w:rPr>
          <w:rFonts w:hint="eastAsia" w:asciiTheme="minorEastAsia" w:hAnsiTheme="minorEastAsia" w:cstheme="minorEastAsia"/>
          <w:b/>
          <w:bCs/>
          <w:color w:val="auto"/>
          <w:sz w:val="24"/>
          <w:szCs w:val="24"/>
        </w:rPr>
        <w:t>股票交易，作出客观审慎的判断，以免因行情波动，交易亏损，给您身心健康造成伤害。</w:t>
      </w:r>
    </w:p>
    <w:p>
      <w:pPr>
        <w:adjustRightInd w:val="0"/>
        <w:snapToGrid w:val="0"/>
        <w:spacing w:line="360" w:lineRule="auto"/>
        <w:ind w:firstLine="482" w:firstLineChars="200"/>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rPr>
        <w:t>特别提示：请您确保提供的证件信息和资产证明等材料真实、有效，收入来源合法。若您的账户信息发生重要变化、可能影响其分类的，应当及时告知证券公司，如有不予配合或提供信息不真实、不准确、不完整的，</w:t>
      </w:r>
      <w:r>
        <w:rPr>
          <w:rFonts w:hint="eastAsia" w:asciiTheme="minorEastAsia" w:hAnsiTheme="minorEastAsia" w:cstheme="minorEastAsia"/>
          <w:b/>
          <w:bCs/>
          <w:color w:val="auto"/>
          <w:sz w:val="24"/>
          <w:szCs w:val="24"/>
          <w:lang w:val="en-US" w:eastAsia="zh-CN"/>
        </w:rPr>
        <w:t>或您</w:t>
      </w:r>
      <w:r>
        <w:rPr>
          <w:rFonts w:hint="eastAsia" w:asciiTheme="minorEastAsia" w:hAnsiTheme="minorEastAsia" w:cstheme="minorEastAsia"/>
          <w:b/>
          <w:bCs/>
          <w:color w:val="auto"/>
          <w:sz w:val="24"/>
          <w:szCs w:val="24"/>
        </w:rPr>
        <w:t>存在严重影响证券交易秩序的异常交易行为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rPr>
        <w:t>涉嫌违法违规的交易行为证券公司有权采取限制账户交易权限、拒绝接受委托、解除委托代理协议等措施</w:t>
      </w:r>
      <w:r>
        <w:rPr>
          <w:rFonts w:hint="eastAsia" w:asciiTheme="minorEastAsia" w:hAnsiTheme="minorEastAsia" w:cstheme="minorEastAsia"/>
          <w:b/>
          <w:bCs/>
          <w:color w:val="auto"/>
          <w:sz w:val="24"/>
          <w:szCs w:val="24"/>
          <w:lang w:eastAsia="zh-CN"/>
        </w:rPr>
        <w:t>。</w:t>
      </w:r>
    </w:p>
    <w:p>
      <w:pPr>
        <w:pStyle w:val="2"/>
        <w:rPr>
          <w:rFonts w:hint="eastAsia"/>
          <w:lang w:eastAsia="zh-CN"/>
        </w:rPr>
      </w:pPr>
    </w:p>
    <w:p>
      <w:pPr>
        <w:pStyle w:val="2"/>
        <w:rPr>
          <w:rFonts w:hint="eastAsia" w:asciiTheme="minorEastAsia" w:hAnsiTheme="minorEastAsia" w:cstheme="minorEastAsia"/>
          <w:sz w:val="24"/>
          <w:szCs w:val="24"/>
        </w:rPr>
      </w:pPr>
    </w:p>
    <w:p>
      <w:pPr>
        <w:adjustRightInd w:val="0"/>
        <w:snapToGrid w:val="0"/>
        <w:spacing w:line="480" w:lineRule="auto"/>
        <w:ind w:firstLine="5520" w:firstLineChars="2300"/>
        <w:rPr>
          <w:rFonts w:hint="eastAsia" w:asciiTheme="minorEastAsia" w:hAnsiTheme="minorEastAsia" w:cstheme="minorEastAsia"/>
          <w:sz w:val="24"/>
          <w:szCs w:val="24"/>
        </w:rPr>
      </w:pPr>
      <w:r>
        <w:rPr>
          <w:rFonts w:hint="eastAsia" w:asciiTheme="minorEastAsia" w:hAnsiTheme="minorEastAsia" w:cstheme="minorEastAsia"/>
          <w:sz w:val="24"/>
          <w:szCs w:val="24"/>
        </w:rPr>
        <w:t>投资者签字：</w:t>
      </w:r>
    </w:p>
    <w:p>
      <w:pPr>
        <w:adjustRightInd w:val="0"/>
        <w:snapToGrid w:val="0"/>
        <w:spacing w:line="480" w:lineRule="auto"/>
        <w:ind w:firstLine="5520" w:firstLineChars="23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营业网点经办人签章: </w:t>
      </w:r>
    </w:p>
    <w:p>
      <w:pPr>
        <w:adjustRightInd w:val="0"/>
        <w:snapToGrid w:val="0"/>
        <w:spacing w:line="480" w:lineRule="auto"/>
        <w:ind w:firstLine="5520" w:firstLineChars="2300"/>
        <w:rPr>
          <w:rFonts w:hint="eastAsia" w:asciiTheme="minorEastAsia" w:hAnsiTheme="minorEastAsia" w:cstheme="minorEastAsia"/>
          <w:sz w:val="24"/>
          <w:szCs w:val="24"/>
        </w:rPr>
      </w:pPr>
      <w:r>
        <w:rPr>
          <w:rFonts w:hint="eastAsia" w:asciiTheme="minorEastAsia" w:hAnsiTheme="minorEastAsia" w:cstheme="minorEastAsia"/>
          <w:sz w:val="24"/>
          <w:szCs w:val="24"/>
        </w:rPr>
        <w:t>营业网点业务章：</w:t>
      </w:r>
    </w:p>
    <w:p>
      <w:pPr>
        <w:adjustRightInd w:val="0"/>
        <w:snapToGrid w:val="0"/>
        <w:spacing w:line="480" w:lineRule="auto"/>
        <w:ind w:firstLine="5520" w:firstLineChars="23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日期：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年    月    日</w:t>
      </w:r>
    </w:p>
    <w:p>
      <w:pPr>
        <w:adjustRightInd w:val="0"/>
        <w:snapToGrid w:val="0"/>
        <w:spacing w:line="360" w:lineRule="auto"/>
        <w:ind w:firstLine="1440" w:firstLineChars="600"/>
        <w:rPr>
          <w:rFonts w:hint="eastAsia" w:asciiTheme="minorEastAsia" w:hAnsiTheme="minorEastAsia" w:cstheme="minorEastAsia"/>
          <w:sz w:val="24"/>
          <w:szCs w:val="24"/>
        </w:rPr>
      </w:pPr>
    </w:p>
    <w:p>
      <w:pPr>
        <w:rPr>
          <w:rFonts w:hint="eastAsia" w:eastAsiaTheme="minorEastAsia"/>
          <w:lang w:eastAsia="zh-CN"/>
        </w:rPr>
      </w:pPr>
      <w:r>
        <w:rPr>
          <w:rFonts w:hint="eastAsia" w:asciiTheme="minorEastAsia" w:hAnsiTheme="minorEastAsia" w:cstheme="minorEastAsia"/>
          <w:sz w:val="24"/>
          <w:szCs w:val="24"/>
        </w:rPr>
        <w:t>注：本揭示书一式两份，客户一份，营业网点留存存档一份</w:t>
      </w:r>
      <w:r>
        <w:rPr>
          <w:rFonts w:hint="eastAsia" w:asciiTheme="minorEastAsia" w:hAnsiTheme="minorEastAsia" w:cstheme="minorEastAsia"/>
          <w:sz w:val="24"/>
          <w:szCs w:val="24"/>
          <w:lang w:eastAsia="zh-CN"/>
        </w:rPr>
        <w:t>。</w:t>
      </w:r>
    </w:p>
    <w:sectPr>
      <w:headerReference r:id="rId3" w:type="default"/>
      <w:footerReference r:id="rId4" w:type="default"/>
      <w:pgSz w:w="11906" w:h="16838"/>
      <w:pgMar w:top="1157" w:right="1519"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right" w:pos="9498"/>
        <w:tab w:val="clear" w:pos="8306"/>
      </w:tabs>
      <w:ind w:left="0" w:leftChars="0" w:right="-1191" w:rightChars="-567" w:firstLine="0" w:firstLineChars="0"/>
      <w:jc w:val="both"/>
      <w:rPr>
        <w:sz w:val="21"/>
        <w:szCs w:val="21"/>
      </w:rPr>
    </w:pPr>
    <w:r>
      <w:rPr>
        <w:rFonts w:hint="eastAsia"/>
        <w:u w:val="single"/>
      </w:rPr>
      <w:t xml:space="preserve">国融证券股份有限公司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上海证券交易所风险警示股票交易风险揭示书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6151B"/>
    <w:multiLevelType w:val="multilevel"/>
    <w:tmpl w:val="D486151B"/>
    <w:lvl w:ilvl="0" w:tentative="0">
      <w:start w:val="1"/>
      <w:numFmt w:val="decimal"/>
      <w:lvlText w:val="%1."/>
      <w:lvlJc w:val="left"/>
      <w:pPr>
        <w:ind w:left="425" w:hanging="425"/>
      </w:pPr>
      <w:rPr>
        <w:rFonts w:hint="eastAsia" w:ascii="宋体" w:hAnsi="宋体" w:eastAsia="宋体"/>
        <w:b/>
        <w:bCs/>
        <w:sz w:val="28"/>
        <w:szCs w:val="28"/>
      </w:rPr>
    </w:lvl>
    <w:lvl w:ilvl="1" w:tentative="0">
      <w:start w:val="1"/>
      <w:numFmt w:val="decimal"/>
      <w:pStyle w:val="5"/>
      <w:lvlText w:val="%1.%2"/>
      <w:lvlJc w:val="left"/>
      <w:pPr>
        <w:ind w:left="57" w:hanging="57"/>
      </w:pPr>
      <w:rPr>
        <w:rFonts w:hint="eastAsia" w:ascii="宋体" w:hAnsi="宋体" w:eastAsia="宋体"/>
        <w:b w:val="0"/>
        <w:bCs w:val="0"/>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TA3ZTZiNTZlNDBlMDIzOTQ0M2E0YjlhZWM5NjQifQ=="/>
  </w:docVars>
  <w:rsids>
    <w:rsidRoot w:val="00000000"/>
    <w:rsid w:val="11061A6B"/>
    <w:rsid w:val="13133BD5"/>
    <w:rsid w:val="1ADF5EC2"/>
    <w:rsid w:val="298D0756"/>
    <w:rsid w:val="411B47C9"/>
    <w:rsid w:val="61E81F33"/>
    <w:rsid w:val="6449557A"/>
    <w:rsid w:val="66B86B06"/>
    <w:rsid w:val="69BD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1"/>
    <w:qFormat/>
    <w:uiPriority w:val="0"/>
    <w:pPr>
      <w:keepNext/>
      <w:keepLines/>
      <w:spacing w:before="50" w:beforeLines="50" w:after="50" w:afterLines="50" w:line="360" w:lineRule="auto"/>
      <w:outlineLvl w:val="0"/>
    </w:pPr>
    <w:rPr>
      <w:rFonts w:ascii="Arial" w:hAnsi="Arial" w:eastAsia="黑体"/>
      <w:b w:val="0"/>
      <w:bCs/>
      <w:kern w:val="44"/>
      <w:sz w:val="36"/>
      <w:szCs w:val="44"/>
    </w:rPr>
  </w:style>
  <w:style w:type="paragraph" w:styleId="5">
    <w:name w:val="heading 2"/>
    <w:basedOn w:val="1"/>
    <w:next w:val="1"/>
    <w:link w:val="12"/>
    <w:semiHidden/>
    <w:unhideWhenUsed/>
    <w:qFormat/>
    <w:uiPriority w:val="0"/>
    <w:pPr>
      <w:keepNext/>
      <w:keepLines/>
      <w:framePr w:hSpace="180" w:wrap="around" w:vAnchor="text" w:hAnchor="text" w:xAlign="center" w:y="1"/>
      <w:suppressOverlap/>
      <w:numPr>
        <w:ilvl w:val="1"/>
        <w:numId w:val="1"/>
      </w:numPr>
      <w:spacing w:before="50" w:beforeLines="50" w:after="50" w:afterLines="50" w:line="360" w:lineRule="auto"/>
      <w:jc w:val="center"/>
      <w:outlineLvl w:val="1"/>
    </w:pPr>
    <w:rPr>
      <w:rFonts w:eastAsia="黑体" w:asciiTheme="majorAscii" w:hAnsiTheme="majorAscii" w:cstheme="majorBidi"/>
      <w:sz w:val="28"/>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Plain Text"/>
    <w:basedOn w:val="1"/>
    <w:qFormat/>
    <w:uiPriority w:val="0"/>
    <w:rPr>
      <w:rFonts w:ascii="宋体" w:hAnsi="Courier New" w:eastAsia="宋体" w:cs="Times New Roman"/>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字符"/>
    <w:link w:val="3"/>
    <w:qFormat/>
    <w:uiPriority w:val="9"/>
    <w:rPr>
      <w:rFonts w:ascii="Arial" w:hAnsi="Arial" w:eastAsia="黑体" w:cs="Times New Roman"/>
      <w:b/>
      <w:bCs/>
      <w:kern w:val="44"/>
      <w:sz w:val="36"/>
      <w:szCs w:val="44"/>
    </w:rPr>
  </w:style>
  <w:style w:type="character" w:customStyle="1" w:styleId="12">
    <w:name w:val="标题 2 字符"/>
    <w:basedOn w:val="10"/>
    <w:link w:val="5"/>
    <w:qFormat/>
    <w:uiPriority w:val="9"/>
    <w:rPr>
      <w:rFonts w:asciiTheme="majorAscii" w:hAnsiTheme="majorAscii" w:eastAsiaTheme="minorEastAsia" w:cstheme="majorBidi"/>
      <w:sz w:val="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1360</Words>
  <Characters>1364</Characters>
  <Lines>0</Lines>
  <Paragraphs>0</Paragraphs>
  <TotalTime>3</TotalTime>
  <ScaleCrop>false</ScaleCrop>
  <LinksUpToDate>false</LinksUpToDate>
  <CharactersWithSpaces>1386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2022-03-28T08:43:00Z</dcterms:created>
  <dc:creator>卫小凤</dc:creator>
  <cp:lastModifiedBy>卫小凤</cp:lastModifiedBy>
  <dcterms:modified xsi:type="dcterms:W3CDTF">2023-03-13T07:10:06Z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7E29AD0512F94A419BB98ACCB02BDCB9</vt:lpwstr>
  </property>
</Properties>
</file>